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1"/>
        <w:tblW w:w="9781" w:type="dxa"/>
        <w:tblInd w:w="-23" w:type="dxa"/>
        <w:tblBorders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890"/>
        <w:gridCol w:w="4891"/>
      </w:tblGrid>
      <w:tr w:rsidR="00B72F09" w:rsidRPr="000B0AE4" w14:paraId="31D954EF" w14:textId="77777777" w:rsidTr="00F97F88">
        <w:tc>
          <w:tcPr>
            <w:tcW w:w="9781" w:type="dxa"/>
            <w:gridSpan w:val="2"/>
            <w:tcBorders>
              <w:top w:val="single" w:sz="18" w:space="0" w:color="213AEF"/>
              <w:left w:val="single" w:sz="18" w:space="0" w:color="213AEF"/>
              <w:right w:val="single" w:sz="18" w:space="0" w:color="213AEF"/>
            </w:tcBorders>
            <w:shd w:val="clear" w:color="auto" w:fill="F2F2F2"/>
          </w:tcPr>
          <w:p w14:paraId="1EF82CBF" w14:textId="77777777" w:rsidR="00B72F09" w:rsidRPr="000B0AE4" w:rsidRDefault="00B72F09" w:rsidP="00F97F88">
            <w:pPr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eastAsia="Times New Roman" w:cs="Arial"/>
                <w:b/>
                <w:bCs/>
                <w:color w:val="3126C9"/>
                <w:sz w:val="20"/>
                <w:szCs w:val="20"/>
                <w:lang w:val="ru-RU"/>
              </w:rPr>
            </w:pPr>
            <w:bookmarkStart w:id="0" w:name="_Hlk106882854"/>
            <w:r w:rsidRPr="000B0AE4">
              <w:rPr>
                <w:rFonts w:eastAsia="Times New Roman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 w:rsidRPr="000B0AE4">
              <w:rPr>
                <w:rFonts w:eastAsia="Times New Roman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 w:rsidRPr="000B0AE4">
              <w:rPr>
                <w:rFonts w:eastAsia="Times New Roman" w:cs="Arial"/>
                <w:color w:val="3126C9"/>
                <w:sz w:val="20"/>
                <w:szCs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B72F09" w:rsidRPr="00502208" w14:paraId="159522C1" w14:textId="77777777" w:rsidTr="00F97F88">
        <w:tc>
          <w:tcPr>
            <w:tcW w:w="4890" w:type="dxa"/>
            <w:tcBorders>
              <w:left w:val="single" w:sz="18" w:space="0" w:color="213AEF"/>
            </w:tcBorders>
            <w:shd w:val="clear" w:color="auto" w:fill="F2F2F2"/>
          </w:tcPr>
          <w:p w14:paraId="799C1B7A" w14:textId="7C119F49" w:rsidR="00B72F09" w:rsidRDefault="00B72F09" w:rsidP="00F97F88">
            <w:pPr>
              <w:numPr>
                <w:ilvl w:val="0"/>
                <w:numId w:val="3"/>
              </w:numPr>
              <w:spacing w:before="120" w:after="120"/>
              <w:ind w:left="337" w:hanging="337"/>
              <w:rPr>
                <w:rFonts w:eastAsia="Times New Roman" w:cs="Arial"/>
                <w:sz w:val="20"/>
                <w:szCs w:val="20"/>
                <w:lang w:val="ru-RU"/>
              </w:rPr>
            </w:pPr>
            <w:r>
              <w:rPr>
                <w:rFonts w:eastAsia="Times New Roman" w:cs="Arial"/>
                <w:sz w:val="20"/>
                <w:szCs w:val="20"/>
                <w:lang w:val="ru-RU"/>
              </w:rPr>
              <w:t>Между номинальной стоимостью доли Инвестора, на которую увеличится уставный капитал и размером вносимого вклада может быть следующее соотношение:</w:t>
            </w:r>
          </w:p>
          <w:p w14:paraId="74D72289" w14:textId="77777777" w:rsidR="00B72F09" w:rsidRPr="00584EEF" w:rsidRDefault="00B72F09" w:rsidP="00B72F09">
            <w:pPr>
              <w:pStyle w:val="a0"/>
              <w:numPr>
                <w:ilvl w:val="0"/>
                <w:numId w:val="5"/>
              </w:num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  <w:r>
              <w:rPr>
                <w:rFonts w:eastAsia="Times New Roman" w:cs="Arial"/>
                <w:sz w:val="20"/>
                <w:szCs w:val="20"/>
                <w:lang w:val="ru-RU"/>
              </w:rPr>
              <w:t>н</w:t>
            </w:r>
            <w:r w:rsidRPr="00584EEF">
              <w:rPr>
                <w:rFonts w:eastAsia="Times New Roman" w:cs="Arial"/>
                <w:sz w:val="20"/>
                <w:szCs w:val="20"/>
                <w:lang w:val="ru-RU"/>
              </w:rPr>
              <w:t>оминальная стоимость доли равна размеру вклада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>;</w:t>
            </w:r>
          </w:p>
          <w:p w14:paraId="3702C886" w14:textId="77777777" w:rsidR="00B72F09" w:rsidRDefault="00B72F09" w:rsidP="00B72F09">
            <w:pPr>
              <w:pStyle w:val="a0"/>
              <w:numPr>
                <w:ilvl w:val="0"/>
                <w:numId w:val="5"/>
              </w:num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  <w:r>
              <w:rPr>
                <w:rFonts w:eastAsia="Times New Roman" w:cs="Arial"/>
                <w:sz w:val="20"/>
                <w:szCs w:val="20"/>
                <w:lang w:val="ru-RU"/>
              </w:rPr>
              <w:t>н</w:t>
            </w:r>
            <w:r w:rsidRPr="00584EEF">
              <w:rPr>
                <w:rFonts w:eastAsia="Times New Roman" w:cs="Arial"/>
                <w:sz w:val="20"/>
                <w:szCs w:val="20"/>
                <w:lang w:val="ru-RU"/>
              </w:rPr>
              <w:t>оминальная стоимость доли меньше размере вклада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>.</w:t>
            </w:r>
            <w:r w:rsidRPr="00584EEF">
              <w:rPr>
                <w:rFonts w:eastAsia="Times New Roman" w:cs="Arial"/>
                <w:sz w:val="20"/>
                <w:szCs w:val="20"/>
                <w:lang w:val="ru-RU"/>
              </w:rPr>
              <w:t xml:space="preserve"> </w:t>
            </w:r>
          </w:p>
          <w:p w14:paraId="7C54CE7D" w14:textId="4ECC0CEB" w:rsidR="00B72F09" w:rsidRPr="00B72F09" w:rsidRDefault="00B72F09" w:rsidP="00B72F09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  <w:r>
              <w:rPr>
                <w:rFonts w:eastAsia="Times New Roman" w:cs="Arial"/>
                <w:sz w:val="20"/>
                <w:szCs w:val="20"/>
                <w:lang w:val="ru-RU"/>
              </w:rPr>
              <w:t>В данном примере выбрана модель при которой номинальная стоимость доли меньше размера вклада</w:t>
            </w:r>
            <w:r w:rsidR="002120BA">
              <w:rPr>
                <w:rFonts w:eastAsia="Times New Roman" w:cs="Arial"/>
                <w:sz w:val="20"/>
                <w:szCs w:val="20"/>
                <w:lang w:val="ru-RU"/>
              </w:rPr>
              <w:t xml:space="preserve">. Как рассчитать номинальную стоимость доли см. ниже. 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891" w:type="dxa"/>
            <w:tcBorders>
              <w:right w:val="single" w:sz="18" w:space="0" w:color="213AEF"/>
            </w:tcBorders>
            <w:shd w:val="clear" w:color="auto" w:fill="F2F2F2"/>
          </w:tcPr>
          <w:p w14:paraId="76EF3B4B" w14:textId="2E364A96" w:rsidR="00B72F09" w:rsidRDefault="00B72F09" w:rsidP="00F97F88">
            <w:pPr>
              <w:numPr>
                <w:ilvl w:val="0"/>
                <w:numId w:val="3"/>
              </w:numPr>
              <w:spacing w:before="120" w:after="120"/>
              <w:ind w:left="337" w:hanging="337"/>
              <w:rPr>
                <w:rFonts w:eastAsia="Times New Roman" w:cs="Arial"/>
                <w:sz w:val="20"/>
                <w:szCs w:val="20"/>
                <w:lang w:val="ru-RU"/>
              </w:rPr>
            </w:pPr>
            <w:r>
              <w:rPr>
                <w:rFonts w:eastAsia="Times New Roman" w:cs="Arial"/>
                <w:sz w:val="20"/>
                <w:szCs w:val="20"/>
                <w:lang w:val="ru-RU"/>
              </w:rPr>
              <w:t>Срок на оплату вклада может быть любой, в пределах 6 месяцев</w:t>
            </w:r>
            <w:r w:rsidR="002120BA">
              <w:rPr>
                <w:rFonts w:eastAsia="Times New Roman" w:cs="Arial"/>
                <w:sz w:val="20"/>
                <w:szCs w:val="20"/>
                <w:lang w:val="ru-RU"/>
              </w:rPr>
              <w:t xml:space="preserve"> с даты принятия настоящего решения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>, если в уставе ООО нет ограничений по максимальному сроку оплаты вклада.</w:t>
            </w:r>
          </w:p>
          <w:p w14:paraId="5C8280D4" w14:textId="131205CF" w:rsidR="00B72F09" w:rsidRPr="00502208" w:rsidRDefault="00B72F09" w:rsidP="00F97F88">
            <w:pPr>
              <w:numPr>
                <w:ilvl w:val="0"/>
                <w:numId w:val="3"/>
              </w:numPr>
              <w:spacing w:before="120" w:after="120"/>
              <w:ind w:left="337" w:hanging="337"/>
              <w:rPr>
                <w:rFonts w:eastAsia="Times New Roman" w:cs="Arial"/>
                <w:sz w:val="20"/>
                <w:szCs w:val="20"/>
                <w:lang w:val="ru-RU"/>
              </w:rPr>
            </w:pPr>
            <w:r>
              <w:rPr>
                <w:rFonts w:eastAsia="Times New Roman" w:cs="Arial"/>
                <w:sz w:val="20"/>
                <w:szCs w:val="20"/>
                <w:lang w:val="ru-RU"/>
              </w:rPr>
              <w:t>Факт приняти</w:t>
            </w:r>
            <w:r w:rsidR="002120BA">
              <w:rPr>
                <w:rFonts w:eastAsia="Times New Roman" w:cs="Arial"/>
                <w:sz w:val="20"/>
                <w:szCs w:val="20"/>
                <w:lang w:val="ru-RU"/>
              </w:rPr>
              <w:t>я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 xml:space="preserve"> решения </w:t>
            </w:r>
            <w:r w:rsidRPr="00B72F09">
              <w:rPr>
                <w:rFonts w:eastAsia="Times New Roman" w:cs="Arial"/>
                <w:sz w:val="20"/>
                <w:szCs w:val="20"/>
                <w:lang w:val="ru-RU"/>
              </w:rPr>
              <w:t>единственным участником общества об увеличении уставного капитала долж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>е</w:t>
            </w:r>
            <w:r w:rsidRPr="00B72F09">
              <w:rPr>
                <w:rFonts w:eastAsia="Times New Roman" w:cs="Arial"/>
                <w:sz w:val="20"/>
                <w:szCs w:val="20"/>
                <w:lang w:val="ru-RU"/>
              </w:rPr>
              <w:t>н быть подтвержден путем нотариального удостоверения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 xml:space="preserve"> (п.3. ст. 17 Федерального закона «Об обществах с ограниченной ответственностью». </w:t>
            </w:r>
          </w:p>
        </w:tc>
      </w:tr>
      <w:tr w:rsidR="00B72F09" w:rsidRPr="000B0AE4" w14:paraId="2033386C" w14:textId="77777777" w:rsidTr="00F97F88">
        <w:tc>
          <w:tcPr>
            <w:tcW w:w="4890" w:type="dxa"/>
            <w:tcBorders>
              <w:left w:val="single" w:sz="18" w:space="0" w:color="213AEF"/>
            </w:tcBorders>
            <w:shd w:val="clear" w:color="auto" w:fill="F2F2F2"/>
          </w:tcPr>
          <w:p w14:paraId="15630282" w14:textId="67B5F60E" w:rsidR="00B72F09" w:rsidRPr="000B0AE4" w:rsidRDefault="00B72F09" w:rsidP="00B72F09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</w:p>
        </w:tc>
        <w:tc>
          <w:tcPr>
            <w:tcW w:w="4891" w:type="dxa"/>
            <w:tcBorders>
              <w:right w:val="single" w:sz="18" w:space="0" w:color="213AEF"/>
            </w:tcBorders>
            <w:shd w:val="clear" w:color="auto" w:fill="F2F2F2"/>
          </w:tcPr>
          <w:p w14:paraId="1263F824" w14:textId="77777777" w:rsidR="00B72F09" w:rsidRPr="00C9315E" w:rsidRDefault="00B72F09" w:rsidP="00F97F88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</w:p>
        </w:tc>
      </w:tr>
      <w:tr w:rsidR="00B72F09" w:rsidRPr="000B0AE4" w14:paraId="23B1F0E3" w14:textId="77777777" w:rsidTr="00F97F88">
        <w:tc>
          <w:tcPr>
            <w:tcW w:w="9781" w:type="dxa"/>
            <w:gridSpan w:val="2"/>
            <w:tcBorders>
              <w:left w:val="single" w:sz="18" w:space="0" w:color="213AEF"/>
              <w:bottom w:val="single" w:sz="18" w:space="0" w:color="213AEF"/>
              <w:right w:val="single" w:sz="18" w:space="0" w:color="213AEF"/>
            </w:tcBorders>
            <w:shd w:val="clear" w:color="auto" w:fill="F2F2F2"/>
          </w:tcPr>
          <w:p w14:paraId="68085BAD" w14:textId="77777777" w:rsidR="00B72F09" w:rsidRPr="000B0AE4" w:rsidRDefault="00000000" w:rsidP="00F97F88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  <w:hyperlink r:id="rId8" w:history="1">
              <w:r w:rsidR="00B72F09" w:rsidRPr="001F23F4">
                <w:rPr>
                  <w:rStyle w:val="a9"/>
                  <w:rFonts w:eastAsia="SimSun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  <w:bookmarkEnd w:id="0"/>
    </w:tbl>
    <w:p w14:paraId="32CC4156" w14:textId="77777777" w:rsidR="00B72F09" w:rsidRDefault="00B72F09" w:rsidP="00F948BB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0974CC9E" w14:textId="17585547" w:rsidR="00924968" w:rsidRPr="00560949" w:rsidRDefault="00924968" w:rsidP="00F948BB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84935">
        <w:rPr>
          <w:rFonts w:ascii="Times New Roman" w:hAnsi="Times New Roman" w:cs="Times New Roman"/>
          <w:b/>
        </w:rPr>
        <w:t xml:space="preserve">РЕШЕНИЕ ЕДИНСТВЕННОГО </w:t>
      </w:r>
      <w:r w:rsidR="00F11559">
        <w:rPr>
          <w:rFonts w:ascii="Times New Roman" w:hAnsi="Times New Roman" w:cs="Times New Roman"/>
          <w:b/>
        </w:rPr>
        <w:t>УЧА</w:t>
      </w:r>
      <w:r w:rsidR="00685907">
        <w:rPr>
          <w:rFonts w:ascii="Times New Roman" w:hAnsi="Times New Roman" w:cs="Times New Roman"/>
          <w:b/>
        </w:rPr>
        <w:t>С</w:t>
      </w:r>
      <w:r w:rsidR="00F11559">
        <w:rPr>
          <w:rFonts w:ascii="Times New Roman" w:hAnsi="Times New Roman" w:cs="Times New Roman"/>
          <w:b/>
        </w:rPr>
        <w:t>ТНИКА</w:t>
      </w:r>
      <w:r w:rsidRPr="00F84935">
        <w:rPr>
          <w:rFonts w:ascii="Times New Roman" w:hAnsi="Times New Roman" w:cs="Times New Roman"/>
          <w:b/>
        </w:rPr>
        <w:t xml:space="preserve"> № </w:t>
      </w:r>
      <w:r w:rsidR="00237E10" w:rsidRPr="00237E10">
        <w:rPr>
          <w:rFonts w:ascii="Times New Roman" w:hAnsi="Times New Roman" w:cs="Times New Roman"/>
          <w:b/>
        </w:rPr>
        <w:t>[</w:t>
      </w:r>
      <w:r w:rsidR="00237E10" w:rsidRPr="00237E10">
        <w:rPr>
          <w:rFonts w:ascii="Times New Roman" w:hAnsi="Times New Roman" w:cs="Times New Roman"/>
          <w:b/>
          <w:highlight w:val="yellow"/>
        </w:rPr>
        <w:t>НОМЕР</w:t>
      </w:r>
      <w:r w:rsidR="00237E10" w:rsidRPr="00237E10">
        <w:rPr>
          <w:rFonts w:ascii="Times New Roman" w:hAnsi="Times New Roman" w:cs="Times New Roman"/>
          <w:b/>
        </w:rPr>
        <w:t>]</w:t>
      </w:r>
    </w:p>
    <w:p w14:paraId="60DA81F8" w14:textId="77777777" w:rsidR="00924968" w:rsidRPr="00F84935" w:rsidRDefault="00924968" w:rsidP="00924968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84935">
        <w:rPr>
          <w:rFonts w:ascii="Times New Roman" w:hAnsi="Times New Roman" w:cs="Times New Roman"/>
          <w:b/>
        </w:rPr>
        <w:t>ОБЩЕСТВА С ОГРАНИЧЕННОЙ ОТВЕТСТВЕННОСТЬЮ</w:t>
      </w:r>
    </w:p>
    <w:p w14:paraId="39B8E641" w14:textId="666C7FBA" w:rsidR="00924968" w:rsidRPr="00F84935" w:rsidRDefault="00924968" w:rsidP="00924968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F84935">
        <w:rPr>
          <w:rFonts w:ascii="Times New Roman" w:hAnsi="Times New Roman" w:cs="Times New Roman"/>
          <w:b/>
        </w:rPr>
        <w:t>«</w:t>
      </w:r>
      <w:r w:rsidR="00FB14AD" w:rsidRPr="00B570A7">
        <w:rPr>
          <w:rFonts w:ascii="Times New Roman" w:hAnsi="Times New Roman" w:cs="Times New Roman"/>
          <w:b/>
        </w:rPr>
        <w:t>[</w:t>
      </w:r>
      <w:r w:rsidR="00FB14AD" w:rsidRPr="00FB14AD">
        <w:rPr>
          <w:rFonts w:ascii="Times New Roman" w:hAnsi="Times New Roman" w:cs="Times New Roman"/>
          <w:b/>
          <w:highlight w:val="yellow"/>
        </w:rPr>
        <w:t>НАИМЕНОВАНИЕ ООО</w:t>
      </w:r>
      <w:r w:rsidR="00FB14AD" w:rsidRPr="00B570A7">
        <w:rPr>
          <w:rFonts w:ascii="Times New Roman" w:hAnsi="Times New Roman" w:cs="Times New Roman"/>
          <w:b/>
        </w:rPr>
        <w:t>]</w:t>
      </w:r>
      <w:r w:rsidRPr="00F84935">
        <w:rPr>
          <w:rFonts w:ascii="Times New Roman" w:hAnsi="Times New Roman" w:cs="Times New Roman"/>
          <w:b/>
        </w:rPr>
        <w:t>»</w:t>
      </w:r>
    </w:p>
    <w:p w14:paraId="05661951" w14:textId="77777777" w:rsidR="00924968" w:rsidRPr="00F84935" w:rsidRDefault="00924968" w:rsidP="00924968">
      <w:pPr>
        <w:spacing w:after="240"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24968" w:rsidRPr="00F84935" w14:paraId="76BFD604" w14:textId="77777777" w:rsidTr="00877B87">
        <w:tc>
          <w:tcPr>
            <w:tcW w:w="4672" w:type="dxa"/>
          </w:tcPr>
          <w:p w14:paraId="38E5F9C4" w14:textId="20BBC768" w:rsidR="00924968" w:rsidRPr="00F84935" w:rsidRDefault="00FB14AD" w:rsidP="00FB14AD">
            <w:pPr>
              <w:spacing w:after="240"/>
              <w:ind w:left="-1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FB14AD">
              <w:rPr>
                <w:rFonts w:ascii="Times New Roman" w:hAnsi="Times New Roman" w:cs="Times New Roman"/>
                <w:highlight w:val="yellow"/>
              </w:rPr>
              <w:t>Город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924968" w:rsidRPr="00F84935"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</w:tcPr>
          <w:p w14:paraId="69AB96AA" w14:textId="4165ED52" w:rsidR="00924968" w:rsidRPr="00FB14AD" w:rsidRDefault="00FB14AD" w:rsidP="00877B87">
            <w:pPr>
              <w:spacing w:after="24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FB14AD">
              <w:rPr>
                <w:rFonts w:ascii="Times New Roman" w:hAnsi="Times New Roman" w:cs="Times New Roman"/>
                <w:highlight w:val="yellow"/>
              </w:rPr>
              <w:t>дата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</w:tr>
    </w:tbl>
    <w:p w14:paraId="388244A0" w14:textId="77777777" w:rsidR="00924968" w:rsidRPr="00F84935" w:rsidRDefault="00924968" w:rsidP="00924968">
      <w:pPr>
        <w:spacing w:after="240" w:line="240" w:lineRule="auto"/>
        <w:jc w:val="both"/>
        <w:rPr>
          <w:rFonts w:ascii="Times New Roman" w:hAnsi="Times New Roman" w:cs="Times New Roman"/>
          <w:lang w:val="en-US"/>
        </w:rPr>
      </w:pPr>
    </w:p>
    <w:p w14:paraId="788F7AA0" w14:textId="649B6473" w:rsidR="00924968" w:rsidRPr="00F84935" w:rsidRDefault="00924968" w:rsidP="00924968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F84935">
        <w:rPr>
          <w:rFonts w:ascii="Times New Roman" w:hAnsi="Times New Roman" w:cs="Times New Roman"/>
        </w:rPr>
        <w:t xml:space="preserve">Я, </w:t>
      </w:r>
      <w:r w:rsidR="00FB14AD" w:rsidRPr="00FB14AD">
        <w:rPr>
          <w:rFonts w:ascii="Times New Roman" w:hAnsi="Times New Roman" w:cs="Times New Roman"/>
          <w:b/>
        </w:rPr>
        <w:t>[</w:t>
      </w:r>
      <w:r w:rsidR="00FB14AD" w:rsidRPr="00FB14AD">
        <w:rPr>
          <w:rFonts w:ascii="Times New Roman" w:hAnsi="Times New Roman" w:cs="Times New Roman"/>
          <w:b/>
          <w:highlight w:val="yellow"/>
        </w:rPr>
        <w:t>ФИО</w:t>
      </w:r>
      <w:r w:rsidR="00FB14AD" w:rsidRPr="00FB14AD">
        <w:rPr>
          <w:rFonts w:ascii="Times New Roman" w:hAnsi="Times New Roman" w:cs="Times New Roman"/>
          <w:b/>
        </w:rPr>
        <w:t>]</w:t>
      </w:r>
      <w:r w:rsidR="00FB14AD" w:rsidRPr="00FB14AD">
        <w:rPr>
          <w:rFonts w:ascii="Times New Roman" w:hAnsi="Times New Roman" w:cs="Times New Roman"/>
          <w:bCs/>
        </w:rPr>
        <w:t>,</w:t>
      </w:r>
      <w:r w:rsidR="00FB14AD">
        <w:rPr>
          <w:rFonts w:ascii="Times New Roman" w:hAnsi="Times New Roman" w:cs="Times New Roman"/>
          <w:bCs/>
        </w:rPr>
        <w:t xml:space="preserve"> </w:t>
      </w:r>
      <w:r w:rsidR="00FB14AD" w:rsidRPr="00FB14AD">
        <w:rPr>
          <w:rFonts w:ascii="Times New Roman" w:hAnsi="Times New Roman" w:cs="Times New Roman"/>
          <w:bCs/>
        </w:rPr>
        <w:t>[</w:t>
      </w:r>
      <w:r w:rsidR="00FB14AD" w:rsidRPr="00FB14AD">
        <w:rPr>
          <w:rFonts w:ascii="Times New Roman" w:hAnsi="Times New Roman" w:cs="Times New Roman"/>
          <w:bCs/>
          <w:highlight w:val="yellow"/>
        </w:rPr>
        <w:t>паспортные данные</w:t>
      </w:r>
      <w:r w:rsidR="00FB14AD" w:rsidRPr="00FB14AD">
        <w:rPr>
          <w:rFonts w:ascii="Times New Roman" w:hAnsi="Times New Roman" w:cs="Times New Roman"/>
          <w:bCs/>
        </w:rPr>
        <w:t>]</w:t>
      </w:r>
      <w:r w:rsidRPr="00F84935">
        <w:rPr>
          <w:rFonts w:ascii="Times New Roman" w:hAnsi="Times New Roman" w:cs="Times New Roman"/>
          <w:bCs/>
        </w:rPr>
        <w:t>,</w:t>
      </w:r>
      <w:r w:rsidRPr="00F84935">
        <w:rPr>
          <w:rFonts w:ascii="Times New Roman" w:hAnsi="Times New Roman" w:cs="Times New Roman"/>
        </w:rPr>
        <w:t xml:space="preserve"> как единственный </w:t>
      </w:r>
      <w:r w:rsidR="00F11559">
        <w:rPr>
          <w:rFonts w:ascii="Times New Roman" w:hAnsi="Times New Roman" w:cs="Times New Roman"/>
        </w:rPr>
        <w:t>участник</w:t>
      </w:r>
      <w:r w:rsidR="006A275D">
        <w:rPr>
          <w:rFonts w:ascii="Times New Roman" w:hAnsi="Times New Roman" w:cs="Times New Roman"/>
        </w:rPr>
        <w:t xml:space="preserve"> общества с ограниченной ответственностью «</w:t>
      </w:r>
      <w:r w:rsidR="006A275D">
        <w:rPr>
          <w:rFonts w:ascii="Times New Roman" w:hAnsi="Times New Roman" w:cs="Times New Roman"/>
          <w:lang w:val="en-US"/>
        </w:rPr>
        <w:t>[</w:t>
      </w:r>
      <w:r w:rsidR="006A275D" w:rsidRPr="006A275D">
        <w:rPr>
          <w:rFonts w:ascii="Times New Roman" w:hAnsi="Times New Roman" w:cs="Times New Roman"/>
          <w:highlight w:val="yellow"/>
        </w:rPr>
        <w:t>Наименование ООО</w:t>
      </w:r>
      <w:r w:rsidR="006A275D">
        <w:rPr>
          <w:rFonts w:ascii="Times New Roman" w:hAnsi="Times New Roman" w:cs="Times New Roman"/>
          <w:lang w:val="en-US"/>
        </w:rPr>
        <w:t>]</w:t>
      </w:r>
      <w:r w:rsidR="006A275D">
        <w:rPr>
          <w:rFonts w:ascii="Times New Roman" w:hAnsi="Times New Roman" w:cs="Times New Roman"/>
        </w:rPr>
        <w:t>» («</w:t>
      </w:r>
      <w:r w:rsidR="006A275D">
        <w:rPr>
          <w:rFonts w:ascii="Times New Roman" w:hAnsi="Times New Roman" w:cs="Times New Roman"/>
          <w:b/>
          <w:bCs/>
        </w:rPr>
        <w:t>Общество</w:t>
      </w:r>
      <w:r w:rsidR="006A275D">
        <w:rPr>
          <w:rFonts w:ascii="Times New Roman" w:hAnsi="Times New Roman" w:cs="Times New Roman"/>
        </w:rPr>
        <w:t>»)</w:t>
      </w:r>
      <w:r w:rsidRPr="00F84935">
        <w:rPr>
          <w:rFonts w:ascii="Times New Roman" w:hAnsi="Times New Roman" w:cs="Times New Roman"/>
        </w:rPr>
        <w:t>,</w:t>
      </w:r>
    </w:p>
    <w:p w14:paraId="3360376C" w14:textId="77777777" w:rsidR="00924968" w:rsidRPr="00F84935" w:rsidRDefault="00924968" w:rsidP="00924968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 w:rsidRPr="00F84935">
        <w:rPr>
          <w:rFonts w:ascii="Times New Roman" w:hAnsi="Times New Roman" w:cs="Times New Roman"/>
          <w:b/>
        </w:rPr>
        <w:t>ПРИНЯЛ СЛЕДУЮЩИЕ РЕШЕНИЯ:</w:t>
      </w:r>
    </w:p>
    <w:p w14:paraId="2BAB682E" w14:textId="092D00BB" w:rsidR="00AC0218" w:rsidRDefault="00AC0218" w:rsidP="00FB14AD">
      <w:pPr>
        <w:pStyle w:val="a0"/>
        <w:numPr>
          <w:ilvl w:val="0"/>
          <w:numId w:val="1"/>
        </w:numPr>
        <w:spacing w:after="24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 w:rsidRPr="00AC0218">
        <w:rPr>
          <w:rFonts w:ascii="Times New Roman" w:hAnsi="Times New Roman" w:cs="Times New Roman"/>
        </w:rPr>
        <w:t>Увеличить уставный капитал Общества на [</w:t>
      </w:r>
      <w:r w:rsidRPr="00AC0218">
        <w:rPr>
          <w:rFonts w:ascii="Times New Roman" w:hAnsi="Times New Roman" w:cs="Times New Roman"/>
          <w:highlight w:val="yellow"/>
        </w:rPr>
        <w:t>Х</w:t>
      </w:r>
      <w:r w:rsidRPr="00AC0218">
        <w:rPr>
          <w:rFonts w:ascii="Times New Roman" w:hAnsi="Times New Roman" w:cs="Times New Roman"/>
        </w:rPr>
        <w:t>] рублей за счет вклада третьего лица – [</w:t>
      </w:r>
      <w:r w:rsidRPr="00AC0218">
        <w:rPr>
          <w:rFonts w:ascii="Times New Roman" w:hAnsi="Times New Roman" w:cs="Times New Roman"/>
          <w:highlight w:val="yellow"/>
        </w:rPr>
        <w:t>ФИО Инвестора</w:t>
      </w:r>
      <w:r w:rsidRPr="00AC0218">
        <w:rPr>
          <w:rFonts w:ascii="Times New Roman" w:hAnsi="Times New Roman" w:cs="Times New Roman"/>
        </w:rPr>
        <w:t>], дата рождения [</w:t>
      </w:r>
      <w:r w:rsidRPr="00AC0218">
        <w:rPr>
          <w:rFonts w:ascii="Times New Roman" w:hAnsi="Times New Roman" w:cs="Times New Roman"/>
          <w:highlight w:val="yellow"/>
        </w:rPr>
        <w:t>дата</w:t>
      </w:r>
      <w:r w:rsidRPr="00AC0218">
        <w:rPr>
          <w:rFonts w:ascii="Times New Roman" w:hAnsi="Times New Roman" w:cs="Times New Roman"/>
        </w:rPr>
        <w:t>], паспорт гражданина Российской Федерации серия [</w:t>
      </w:r>
      <w:r w:rsidRPr="00AC0218">
        <w:rPr>
          <w:rFonts w:ascii="Times New Roman" w:hAnsi="Times New Roman" w:cs="Times New Roman"/>
          <w:highlight w:val="yellow"/>
        </w:rPr>
        <w:t>хх</w:t>
      </w:r>
      <w:r w:rsidRPr="00AC0218">
        <w:rPr>
          <w:rFonts w:ascii="Times New Roman" w:hAnsi="Times New Roman" w:cs="Times New Roman"/>
        </w:rPr>
        <w:t>] № [</w:t>
      </w:r>
      <w:r w:rsidRPr="00AC0218">
        <w:rPr>
          <w:rFonts w:ascii="Times New Roman" w:hAnsi="Times New Roman" w:cs="Times New Roman"/>
          <w:highlight w:val="yellow"/>
        </w:rPr>
        <w:t>хх</w:t>
      </w:r>
      <w:r w:rsidRPr="00AC0218">
        <w:rPr>
          <w:rFonts w:ascii="Times New Roman" w:hAnsi="Times New Roman" w:cs="Times New Roman"/>
        </w:rPr>
        <w:t>], выдан Отделом УФМС России по [</w:t>
      </w:r>
      <w:r w:rsidRPr="00AC0218">
        <w:rPr>
          <w:rFonts w:ascii="Times New Roman" w:hAnsi="Times New Roman" w:cs="Times New Roman"/>
          <w:highlight w:val="yellow"/>
        </w:rPr>
        <w:t>регион</w:t>
      </w:r>
      <w:r w:rsidRPr="00AC0218">
        <w:rPr>
          <w:rFonts w:ascii="Times New Roman" w:hAnsi="Times New Roman" w:cs="Times New Roman"/>
        </w:rPr>
        <w:t>] в [</w:t>
      </w:r>
      <w:r w:rsidRPr="00AC0218">
        <w:rPr>
          <w:rFonts w:ascii="Times New Roman" w:hAnsi="Times New Roman" w:cs="Times New Roman"/>
          <w:highlight w:val="yellow"/>
        </w:rPr>
        <w:t>город</w:t>
      </w:r>
      <w:r w:rsidRPr="00AC0218">
        <w:rPr>
          <w:rFonts w:ascii="Times New Roman" w:hAnsi="Times New Roman" w:cs="Times New Roman"/>
        </w:rPr>
        <w:t>] [</w:t>
      </w:r>
      <w:r w:rsidRPr="00AC0218">
        <w:rPr>
          <w:rFonts w:ascii="Times New Roman" w:hAnsi="Times New Roman" w:cs="Times New Roman"/>
          <w:highlight w:val="yellow"/>
        </w:rPr>
        <w:t>дата</w:t>
      </w:r>
      <w:r w:rsidRPr="00AC0218">
        <w:rPr>
          <w:rFonts w:ascii="Times New Roman" w:hAnsi="Times New Roman" w:cs="Times New Roman"/>
        </w:rPr>
        <w:t>], код подразделения [</w:t>
      </w:r>
      <w:r w:rsidRPr="00AC0218">
        <w:rPr>
          <w:rFonts w:ascii="Times New Roman" w:hAnsi="Times New Roman" w:cs="Times New Roman"/>
          <w:highlight w:val="yellow"/>
        </w:rPr>
        <w:t>xx</w:t>
      </w:r>
      <w:r w:rsidRPr="00AC0218">
        <w:rPr>
          <w:rFonts w:ascii="Times New Roman" w:hAnsi="Times New Roman" w:cs="Times New Roman"/>
        </w:rPr>
        <w:t>], проживающим и зарегистрированным по адресу: [</w:t>
      </w:r>
      <w:r w:rsidRPr="00AC0218">
        <w:rPr>
          <w:rFonts w:ascii="Times New Roman" w:hAnsi="Times New Roman" w:cs="Times New Roman"/>
          <w:highlight w:val="yellow"/>
        </w:rPr>
        <w:t>город</w:t>
      </w:r>
      <w:r w:rsidRPr="00AC0218">
        <w:rPr>
          <w:rFonts w:ascii="Times New Roman" w:hAnsi="Times New Roman" w:cs="Times New Roman"/>
        </w:rPr>
        <w:t>], [</w:t>
      </w:r>
      <w:r w:rsidRPr="00AC0218">
        <w:rPr>
          <w:rFonts w:ascii="Times New Roman" w:hAnsi="Times New Roman" w:cs="Times New Roman"/>
          <w:highlight w:val="yellow"/>
        </w:rPr>
        <w:t>улица</w:t>
      </w:r>
      <w:r w:rsidRPr="00AC0218">
        <w:rPr>
          <w:rFonts w:ascii="Times New Roman" w:hAnsi="Times New Roman" w:cs="Times New Roman"/>
        </w:rPr>
        <w:t>], [</w:t>
      </w:r>
      <w:r w:rsidRPr="00AC0218">
        <w:rPr>
          <w:rFonts w:ascii="Times New Roman" w:hAnsi="Times New Roman" w:cs="Times New Roman"/>
          <w:highlight w:val="yellow"/>
        </w:rPr>
        <w:t>дом</w:t>
      </w:r>
      <w:r w:rsidRPr="00AC0218">
        <w:rPr>
          <w:rFonts w:ascii="Times New Roman" w:hAnsi="Times New Roman" w:cs="Times New Roman"/>
        </w:rPr>
        <w:t>], [</w:t>
      </w:r>
      <w:r w:rsidRPr="00AC0218">
        <w:rPr>
          <w:rFonts w:ascii="Times New Roman" w:hAnsi="Times New Roman" w:cs="Times New Roman"/>
          <w:highlight w:val="yellow"/>
        </w:rPr>
        <w:t>квартира</w:t>
      </w:r>
      <w:r w:rsidRPr="00AC0218">
        <w:rPr>
          <w:rFonts w:ascii="Times New Roman" w:hAnsi="Times New Roman" w:cs="Times New Roman"/>
        </w:rPr>
        <w:t>], ИНН [</w:t>
      </w:r>
      <w:r w:rsidRPr="00AC0218">
        <w:rPr>
          <w:rFonts w:ascii="Times New Roman" w:hAnsi="Times New Roman" w:cs="Times New Roman"/>
          <w:highlight w:val="yellow"/>
        </w:rPr>
        <w:t>номер</w:t>
      </w:r>
      <w:r w:rsidRPr="00AC0218">
        <w:rPr>
          <w:rFonts w:ascii="Times New Roman" w:hAnsi="Times New Roman" w:cs="Times New Roman"/>
        </w:rPr>
        <w:t>].</w:t>
      </w:r>
    </w:p>
    <w:p w14:paraId="1E81CA6C" w14:textId="301C964E" w:rsidR="00AC0218" w:rsidRDefault="00AC0218" w:rsidP="00FB14AD">
      <w:pPr>
        <w:pStyle w:val="a0"/>
        <w:numPr>
          <w:ilvl w:val="0"/>
          <w:numId w:val="1"/>
        </w:numPr>
        <w:spacing w:after="24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 w:rsidRPr="00AC0218">
        <w:rPr>
          <w:rFonts w:ascii="Times New Roman" w:hAnsi="Times New Roman" w:cs="Times New Roman"/>
        </w:rPr>
        <w:t>Утвердить размер уставного капитала по итогам его увеличения – [</w:t>
      </w:r>
      <w:r w:rsidRPr="00AC0218">
        <w:rPr>
          <w:rFonts w:ascii="Times New Roman" w:hAnsi="Times New Roman" w:cs="Times New Roman"/>
          <w:highlight w:val="yellow"/>
        </w:rPr>
        <w:t>xx</w:t>
      </w:r>
      <w:r w:rsidRPr="00AC0218">
        <w:rPr>
          <w:rFonts w:ascii="Times New Roman" w:hAnsi="Times New Roman" w:cs="Times New Roman"/>
        </w:rPr>
        <w:t>] рублей, разницу между вкладом третьего лица и номинальной стоимостью его долей в размере [</w:t>
      </w:r>
      <w:r w:rsidRPr="00AC0218">
        <w:rPr>
          <w:rFonts w:ascii="Times New Roman" w:hAnsi="Times New Roman" w:cs="Times New Roman"/>
          <w:highlight w:val="yellow"/>
        </w:rPr>
        <w:t>Y-X</w:t>
      </w:r>
      <w:r w:rsidRPr="00AC0218">
        <w:rPr>
          <w:rFonts w:ascii="Times New Roman" w:hAnsi="Times New Roman" w:cs="Times New Roman"/>
        </w:rPr>
        <w:t>] отразить в бухгалтерии Общества по счету 83 «Добавочный капитал».</w:t>
      </w:r>
    </w:p>
    <w:p w14:paraId="2DB57FD7" w14:textId="62E53D3C" w:rsidR="00B570A7" w:rsidRDefault="00AC0218" w:rsidP="00FB14AD">
      <w:pPr>
        <w:pStyle w:val="a0"/>
        <w:numPr>
          <w:ilvl w:val="0"/>
          <w:numId w:val="1"/>
        </w:numPr>
        <w:spacing w:after="24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 w:rsidRPr="00AC0218">
        <w:rPr>
          <w:rFonts w:ascii="Times New Roman" w:hAnsi="Times New Roman" w:cs="Times New Roman"/>
        </w:rPr>
        <w:t>Утвердить следующий состав участников Общества, номинальную стоимость и размер их долей в уставном капитале Общества по итогам его увеличения:</w:t>
      </w:r>
      <w:r w:rsidR="00FB14AD" w:rsidRPr="00FB14AD">
        <w:rPr>
          <w:rFonts w:ascii="Times New Roman" w:hAnsi="Times New Roman" w:cs="Times New Roman"/>
        </w:rPr>
        <w:t xml:space="preserve"> </w:t>
      </w:r>
    </w:p>
    <w:p w14:paraId="1662A892" w14:textId="750DA86E" w:rsidR="00B570A7" w:rsidRDefault="00AC0218" w:rsidP="00B570A7">
      <w:pPr>
        <w:pStyle w:val="a0"/>
        <w:numPr>
          <w:ilvl w:val="1"/>
          <w:numId w:val="1"/>
        </w:numPr>
        <w:spacing w:after="240" w:line="240" w:lineRule="auto"/>
        <w:ind w:left="1701" w:hanging="567"/>
        <w:contextualSpacing w:val="0"/>
        <w:jc w:val="both"/>
        <w:rPr>
          <w:rFonts w:ascii="Times New Roman" w:hAnsi="Times New Roman" w:cs="Times New Roman"/>
        </w:rPr>
      </w:pPr>
      <w:r w:rsidRPr="00AC0218">
        <w:rPr>
          <w:rFonts w:ascii="Times New Roman" w:hAnsi="Times New Roman" w:cs="Times New Roman"/>
        </w:rPr>
        <w:t>[</w:t>
      </w:r>
      <w:r w:rsidRPr="00AC0218">
        <w:rPr>
          <w:rFonts w:ascii="Times New Roman" w:hAnsi="Times New Roman" w:cs="Times New Roman"/>
          <w:highlight w:val="yellow"/>
        </w:rPr>
        <w:t>ФИО</w:t>
      </w:r>
      <w:r w:rsidRPr="00AC0218">
        <w:rPr>
          <w:rFonts w:ascii="Times New Roman" w:hAnsi="Times New Roman" w:cs="Times New Roman"/>
        </w:rPr>
        <w:t>]: номинальная стоимость доли – [</w:t>
      </w:r>
      <w:r w:rsidRPr="00AC0218">
        <w:rPr>
          <w:rFonts w:ascii="Times New Roman" w:hAnsi="Times New Roman" w:cs="Times New Roman"/>
          <w:highlight w:val="yellow"/>
        </w:rPr>
        <w:t>хх</w:t>
      </w:r>
      <w:r w:rsidRPr="00AC0218">
        <w:rPr>
          <w:rFonts w:ascii="Times New Roman" w:hAnsi="Times New Roman" w:cs="Times New Roman"/>
        </w:rPr>
        <w:t>] рублей, размер доли – [</w:t>
      </w:r>
      <w:r w:rsidRPr="00AC0218">
        <w:rPr>
          <w:rFonts w:ascii="Times New Roman" w:hAnsi="Times New Roman" w:cs="Times New Roman"/>
          <w:highlight w:val="yellow"/>
        </w:rPr>
        <w:t>хх%</w:t>
      </w:r>
      <w:r w:rsidRPr="00AC0218">
        <w:rPr>
          <w:rFonts w:ascii="Times New Roman" w:hAnsi="Times New Roman" w:cs="Times New Roman"/>
        </w:rPr>
        <w:t>] уставного капитала Общества</w:t>
      </w:r>
      <w:r w:rsidR="00B570A7">
        <w:rPr>
          <w:rFonts w:ascii="Times New Roman" w:hAnsi="Times New Roman" w:cs="Times New Roman"/>
        </w:rPr>
        <w:t>;</w:t>
      </w:r>
    </w:p>
    <w:p w14:paraId="61E9B550" w14:textId="6AC39541" w:rsidR="00B570A7" w:rsidRDefault="00AC0218" w:rsidP="00B570A7">
      <w:pPr>
        <w:pStyle w:val="a0"/>
        <w:numPr>
          <w:ilvl w:val="1"/>
          <w:numId w:val="1"/>
        </w:numPr>
        <w:spacing w:after="240" w:line="240" w:lineRule="auto"/>
        <w:ind w:left="1701" w:hanging="567"/>
        <w:contextualSpacing w:val="0"/>
        <w:jc w:val="both"/>
        <w:rPr>
          <w:rFonts w:ascii="Times New Roman" w:hAnsi="Times New Roman" w:cs="Times New Roman"/>
        </w:rPr>
      </w:pPr>
      <w:r w:rsidRPr="00AC0218">
        <w:rPr>
          <w:rFonts w:ascii="Times New Roman" w:hAnsi="Times New Roman" w:cs="Times New Roman"/>
        </w:rPr>
        <w:t>[</w:t>
      </w:r>
      <w:r w:rsidRPr="00AC0218">
        <w:rPr>
          <w:rFonts w:ascii="Times New Roman" w:hAnsi="Times New Roman" w:cs="Times New Roman"/>
          <w:highlight w:val="yellow"/>
        </w:rPr>
        <w:t>ФИ</w:t>
      </w:r>
      <w:r>
        <w:rPr>
          <w:rFonts w:ascii="Times New Roman" w:hAnsi="Times New Roman" w:cs="Times New Roman"/>
          <w:highlight w:val="yellow"/>
        </w:rPr>
        <w:t>О Инвестора</w:t>
      </w:r>
      <w:r w:rsidRPr="00AC0218">
        <w:rPr>
          <w:rFonts w:ascii="Times New Roman" w:hAnsi="Times New Roman" w:cs="Times New Roman"/>
        </w:rPr>
        <w:t>]: номинальная стоимость доли – [</w:t>
      </w:r>
      <w:r w:rsidRPr="00AC0218">
        <w:rPr>
          <w:rFonts w:ascii="Times New Roman" w:hAnsi="Times New Roman" w:cs="Times New Roman"/>
          <w:highlight w:val="yellow"/>
        </w:rPr>
        <w:t>хх</w:t>
      </w:r>
      <w:r w:rsidRPr="00AC0218">
        <w:rPr>
          <w:rFonts w:ascii="Times New Roman" w:hAnsi="Times New Roman" w:cs="Times New Roman"/>
        </w:rPr>
        <w:t>] рублей, размер доли – [</w:t>
      </w:r>
      <w:r w:rsidRPr="00AC0218">
        <w:rPr>
          <w:rFonts w:ascii="Times New Roman" w:hAnsi="Times New Roman" w:cs="Times New Roman"/>
          <w:highlight w:val="yellow"/>
        </w:rPr>
        <w:t>хх%</w:t>
      </w:r>
      <w:r w:rsidRPr="00AC0218">
        <w:rPr>
          <w:rFonts w:ascii="Times New Roman" w:hAnsi="Times New Roman" w:cs="Times New Roman"/>
        </w:rPr>
        <w:t>] уставного капитала Общества</w:t>
      </w:r>
      <w:r w:rsidR="00B570A7">
        <w:rPr>
          <w:rFonts w:ascii="Times New Roman" w:hAnsi="Times New Roman" w:cs="Times New Roman"/>
        </w:rPr>
        <w:t>.</w:t>
      </w:r>
    </w:p>
    <w:p w14:paraId="6288F2AD" w14:textId="46729A24" w:rsidR="00924968" w:rsidRDefault="00AC0218" w:rsidP="00FB14AD">
      <w:pPr>
        <w:pStyle w:val="a0"/>
        <w:numPr>
          <w:ilvl w:val="0"/>
          <w:numId w:val="1"/>
        </w:numPr>
        <w:spacing w:after="24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bookmarkStart w:id="1" w:name="_Ref42957923"/>
      <w:r w:rsidRPr="00AC0218">
        <w:rPr>
          <w:rFonts w:ascii="Times New Roman" w:hAnsi="Times New Roman" w:cs="Times New Roman"/>
        </w:rPr>
        <w:t>Внести в Устав Общества соответствующие изменения сведений о размере уставного капитала Общества и утвердить Устав Общества в новой редакции</w:t>
      </w:r>
      <w:r w:rsidR="00FB14AD">
        <w:rPr>
          <w:rFonts w:ascii="Times New Roman" w:hAnsi="Times New Roman" w:cs="Times New Roman"/>
        </w:rPr>
        <w:t>.</w:t>
      </w:r>
      <w:bookmarkEnd w:id="1"/>
    </w:p>
    <w:p w14:paraId="1C938C72" w14:textId="50149E99" w:rsidR="007574E1" w:rsidRPr="00FB14AD" w:rsidRDefault="00AC0218" w:rsidP="00FB14AD">
      <w:pPr>
        <w:pStyle w:val="a0"/>
        <w:numPr>
          <w:ilvl w:val="0"/>
          <w:numId w:val="1"/>
        </w:numPr>
        <w:spacing w:after="240" w:line="240" w:lineRule="auto"/>
        <w:ind w:left="1134" w:hanging="567"/>
        <w:contextualSpacing w:val="0"/>
        <w:jc w:val="both"/>
        <w:rPr>
          <w:rFonts w:ascii="Times New Roman" w:hAnsi="Times New Roman" w:cs="Times New Roman"/>
        </w:rPr>
      </w:pPr>
      <w:r w:rsidRPr="00AC0218">
        <w:rPr>
          <w:rFonts w:ascii="Times New Roman" w:hAnsi="Times New Roman" w:cs="Times New Roman"/>
        </w:rPr>
        <w:lastRenderedPageBreak/>
        <w:t xml:space="preserve">Поручить </w:t>
      </w:r>
      <w:r w:rsidR="00737376">
        <w:rPr>
          <w:rFonts w:ascii="Times New Roman" w:hAnsi="Times New Roman" w:cs="Times New Roman"/>
        </w:rPr>
        <w:t>Г</w:t>
      </w:r>
      <w:r w:rsidRPr="00AC0218">
        <w:rPr>
          <w:rFonts w:ascii="Times New Roman" w:hAnsi="Times New Roman" w:cs="Times New Roman"/>
        </w:rPr>
        <w:t>енеральному директору [</w:t>
      </w:r>
      <w:r w:rsidRPr="00AC0218">
        <w:rPr>
          <w:rFonts w:ascii="Times New Roman" w:hAnsi="Times New Roman" w:cs="Times New Roman"/>
          <w:highlight w:val="yellow"/>
        </w:rPr>
        <w:t>ФИО</w:t>
      </w:r>
      <w:r w:rsidRPr="00AC0218">
        <w:rPr>
          <w:rFonts w:ascii="Times New Roman" w:hAnsi="Times New Roman" w:cs="Times New Roman"/>
        </w:rPr>
        <w:t>] представить в регистрирующий орган документы установленной формы для регистрации изменений сведений об Обществе</w:t>
      </w:r>
      <w:r w:rsidR="002120BA">
        <w:rPr>
          <w:rFonts w:ascii="Times New Roman" w:hAnsi="Times New Roman" w:cs="Times New Roman"/>
        </w:rPr>
        <w:t xml:space="preserve"> в ЕГРЮЛ</w:t>
      </w:r>
      <w:r w:rsidR="007574E1">
        <w:rPr>
          <w:rFonts w:ascii="Times New Roman" w:hAnsi="Times New Roman" w:cs="Times New Roman"/>
        </w:rPr>
        <w:t>.</w:t>
      </w:r>
    </w:p>
    <w:p w14:paraId="3AD2D09B" w14:textId="77777777" w:rsidR="00924968" w:rsidRPr="00F84935" w:rsidRDefault="00924968" w:rsidP="00924968">
      <w:pPr>
        <w:spacing w:after="240" w:line="240" w:lineRule="auto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24968" w:rsidRPr="00F84935" w14:paraId="7461A56A" w14:textId="77777777" w:rsidTr="00877B87">
        <w:tc>
          <w:tcPr>
            <w:tcW w:w="4672" w:type="dxa"/>
          </w:tcPr>
          <w:p w14:paraId="1DB7D3B7" w14:textId="77777777" w:rsidR="00924968" w:rsidRDefault="009C4CF3" w:rsidP="00877B87">
            <w:pPr>
              <w:spacing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F11559">
              <w:rPr>
                <w:rFonts w:ascii="Times New Roman" w:hAnsi="Times New Roman" w:cs="Times New Roman"/>
                <w:b/>
                <w:highlight w:val="yellow"/>
              </w:rPr>
              <w:t>ФИО</w:t>
            </w:r>
            <w:r w:rsidR="00F11559" w:rsidRPr="00F11559">
              <w:rPr>
                <w:rFonts w:ascii="Times New Roman" w:hAnsi="Times New Roman" w:cs="Times New Roman"/>
                <w:b/>
                <w:highlight w:val="yellow"/>
              </w:rPr>
              <w:t xml:space="preserve"> единственного участника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  <w:p w14:paraId="4499AA84" w14:textId="09EB2A06" w:rsidR="00E22D13" w:rsidRPr="00E22D13" w:rsidRDefault="00E22D13" w:rsidP="00E22D1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14:paraId="562F6C7C" w14:textId="77777777" w:rsidR="00924968" w:rsidRPr="00F84935" w:rsidRDefault="00924968" w:rsidP="00877B87">
            <w:pPr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24968" w:rsidRPr="00F84935" w14:paraId="75EFEB19" w14:textId="77777777" w:rsidTr="00877B87">
        <w:tc>
          <w:tcPr>
            <w:tcW w:w="4672" w:type="dxa"/>
          </w:tcPr>
          <w:p w14:paraId="6113C193" w14:textId="77777777" w:rsidR="00924968" w:rsidRPr="00F84935" w:rsidRDefault="00924968" w:rsidP="00877B87">
            <w:pPr>
              <w:spacing w:after="2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4DF61E29" w14:textId="77777777" w:rsidR="00924968" w:rsidRPr="00F84935" w:rsidRDefault="00924968" w:rsidP="00877B87">
            <w:pPr>
              <w:spacing w:after="240"/>
              <w:jc w:val="center"/>
              <w:rPr>
                <w:rFonts w:ascii="Times New Roman" w:hAnsi="Times New Roman" w:cs="Times New Roman"/>
                <w:i/>
              </w:rPr>
            </w:pPr>
            <w:r w:rsidRPr="00F84935">
              <w:rPr>
                <w:rFonts w:ascii="Times New Roman" w:hAnsi="Times New Roman" w:cs="Times New Roman"/>
                <w:i/>
                <w:sz w:val="16"/>
              </w:rPr>
              <w:t>(подпись)</w:t>
            </w:r>
          </w:p>
        </w:tc>
      </w:tr>
    </w:tbl>
    <w:tbl>
      <w:tblPr>
        <w:tblStyle w:val="21"/>
        <w:tblW w:w="9781" w:type="dxa"/>
        <w:tblInd w:w="-23" w:type="dxa"/>
        <w:tblBorders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951"/>
        <w:gridCol w:w="4830"/>
      </w:tblGrid>
      <w:tr w:rsidR="002120BA" w:rsidRPr="000B0AE4" w14:paraId="5A670DBE" w14:textId="77777777" w:rsidTr="00DC11E1">
        <w:tc>
          <w:tcPr>
            <w:tcW w:w="9781" w:type="dxa"/>
            <w:gridSpan w:val="2"/>
            <w:tcBorders>
              <w:top w:val="single" w:sz="18" w:space="0" w:color="213AEF"/>
              <w:left w:val="single" w:sz="18" w:space="0" w:color="213AEF"/>
              <w:right w:val="single" w:sz="18" w:space="0" w:color="213AEF"/>
            </w:tcBorders>
            <w:shd w:val="clear" w:color="auto" w:fill="F2F2F2"/>
          </w:tcPr>
          <w:p w14:paraId="66F4DA49" w14:textId="77777777" w:rsidR="002120BA" w:rsidRPr="000B0AE4" w:rsidRDefault="002120BA" w:rsidP="00DC11E1">
            <w:pPr>
              <w:overflowPunct w:val="0"/>
              <w:autoSpaceDE w:val="0"/>
              <w:autoSpaceDN w:val="0"/>
              <w:adjustRightInd w:val="0"/>
              <w:spacing w:before="120" w:after="120"/>
              <w:textAlignment w:val="baseline"/>
              <w:rPr>
                <w:rFonts w:eastAsia="Times New Roman" w:cs="Arial"/>
                <w:b/>
                <w:bCs/>
                <w:color w:val="3126C9"/>
                <w:sz w:val="20"/>
                <w:szCs w:val="20"/>
                <w:lang w:val="ru-RU"/>
              </w:rPr>
            </w:pPr>
            <w:r>
              <w:rPr>
                <w:rFonts w:eastAsia="Times New Roman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Как просчитать номинальную стоимость доли Инвестора и ее размер в % после увеличения, если планируется, что номинальная стоимость будет увеличиваться на сумму меньшую, чем сумма всего вклада Инвестора? </w:t>
            </w:r>
          </w:p>
        </w:tc>
      </w:tr>
      <w:tr w:rsidR="002120BA" w:rsidRPr="00502208" w14:paraId="078D393D" w14:textId="77777777" w:rsidTr="00DC11E1">
        <w:trPr>
          <w:trHeight w:val="3874"/>
        </w:trPr>
        <w:tc>
          <w:tcPr>
            <w:tcW w:w="4951" w:type="dxa"/>
            <w:tcBorders>
              <w:left w:val="single" w:sz="18" w:space="0" w:color="213AEF"/>
            </w:tcBorders>
            <w:shd w:val="clear" w:color="auto" w:fill="F2F2F2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34"/>
              <w:gridCol w:w="1257"/>
              <w:gridCol w:w="1044"/>
            </w:tblGrid>
            <w:tr w:rsidR="002120BA" w14:paraId="3934876A" w14:textId="77777777" w:rsidTr="00DC11E1">
              <w:trPr>
                <w:trHeight w:val="336"/>
              </w:trPr>
              <w:tc>
                <w:tcPr>
                  <w:tcW w:w="2854" w:type="dxa"/>
                </w:tcPr>
                <w:p w14:paraId="3E870917" w14:textId="77777777" w:rsidR="002120BA" w:rsidRDefault="002120BA" w:rsidP="00DC11E1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14:paraId="5D7493BE" w14:textId="77777777" w:rsidR="002120BA" w:rsidRPr="00AB4118" w:rsidRDefault="002120BA" w:rsidP="00DC11E1">
                  <w:pPr>
                    <w:spacing w:before="120" w:after="120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AB411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УК, руб.</w:t>
                  </w:r>
                </w:p>
              </w:tc>
              <w:tc>
                <w:tcPr>
                  <w:tcW w:w="1143" w:type="dxa"/>
                </w:tcPr>
                <w:p w14:paraId="5C54B870" w14:textId="77777777" w:rsidR="002120BA" w:rsidRPr="00AB4118" w:rsidRDefault="002120BA" w:rsidP="00DC11E1">
                  <w:pPr>
                    <w:spacing w:before="120" w:after="120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AB4118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Доля, %</w:t>
                  </w:r>
                </w:p>
              </w:tc>
            </w:tr>
            <w:tr w:rsidR="002120BA" w14:paraId="21E95B62" w14:textId="77777777" w:rsidTr="00DC11E1">
              <w:trPr>
                <w:trHeight w:val="664"/>
              </w:trPr>
              <w:tc>
                <w:tcPr>
                  <w:tcW w:w="2854" w:type="dxa"/>
                </w:tcPr>
                <w:p w14:paraId="2F3BC879" w14:textId="77777777" w:rsidR="002120BA" w:rsidRDefault="002120BA" w:rsidP="00DC11E1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До увеличения УК</w:t>
                  </w:r>
                </w:p>
              </w:tc>
              <w:tc>
                <w:tcPr>
                  <w:tcW w:w="1418" w:type="dxa"/>
                </w:tcPr>
                <w:p w14:paraId="23869111" w14:textId="77777777" w:rsidR="002120BA" w:rsidRDefault="002120BA" w:rsidP="00DC11E1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10 000 </w:t>
                  </w:r>
                </w:p>
              </w:tc>
              <w:tc>
                <w:tcPr>
                  <w:tcW w:w="1143" w:type="dxa"/>
                </w:tcPr>
                <w:p w14:paraId="7C77FB1C" w14:textId="77777777" w:rsidR="002120BA" w:rsidRDefault="002120BA" w:rsidP="00DC11E1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100 </w:t>
                  </w:r>
                </w:p>
              </w:tc>
            </w:tr>
            <w:tr w:rsidR="002120BA" w14:paraId="031370C3" w14:textId="77777777" w:rsidTr="00DC11E1">
              <w:trPr>
                <w:trHeight w:val="836"/>
              </w:trPr>
              <w:tc>
                <w:tcPr>
                  <w:tcW w:w="2854" w:type="dxa"/>
                </w:tcPr>
                <w:p w14:paraId="10637BF9" w14:textId="77777777" w:rsidR="002120BA" w:rsidRDefault="002120BA" w:rsidP="00DC11E1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Доля Инвестора после увеличения</w:t>
                  </w:r>
                </w:p>
              </w:tc>
              <w:tc>
                <w:tcPr>
                  <w:tcW w:w="1418" w:type="dxa"/>
                </w:tcPr>
                <w:p w14:paraId="5397A9DE" w14:textId="77777777" w:rsidR="002120BA" w:rsidRPr="00E41081" w:rsidRDefault="002120BA" w:rsidP="00DC11E1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Y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43" w:type="dxa"/>
                </w:tcPr>
                <w:p w14:paraId="7C5C7C24" w14:textId="77777777" w:rsidR="002120BA" w:rsidRPr="00E650DB" w:rsidRDefault="002120BA" w:rsidP="00DC11E1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2120BA" w14:paraId="57D45731" w14:textId="77777777" w:rsidTr="00DC11E1">
              <w:trPr>
                <w:trHeight w:val="991"/>
              </w:trPr>
              <w:tc>
                <w:tcPr>
                  <w:tcW w:w="2854" w:type="dxa"/>
                </w:tcPr>
                <w:p w14:paraId="1BD989BC" w14:textId="77777777" w:rsidR="002120BA" w:rsidRDefault="002120BA" w:rsidP="00DC11E1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Доля остальных участников после увеличения</w:t>
                  </w:r>
                </w:p>
              </w:tc>
              <w:tc>
                <w:tcPr>
                  <w:tcW w:w="1418" w:type="dxa"/>
                </w:tcPr>
                <w:p w14:paraId="0385C12D" w14:textId="77777777" w:rsidR="002120BA" w:rsidRDefault="002120BA" w:rsidP="00DC11E1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10 000</w:t>
                  </w:r>
                </w:p>
              </w:tc>
              <w:tc>
                <w:tcPr>
                  <w:tcW w:w="1143" w:type="dxa"/>
                </w:tcPr>
                <w:p w14:paraId="3D509797" w14:textId="77777777" w:rsidR="002120BA" w:rsidRDefault="002120BA" w:rsidP="00DC11E1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90%</w:t>
                  </w:r>
                </w:p>
              </w:tc>
            </w:tr>
            <w:tr w:rsidR="002120BA" w14:paraId="06F9B667" w14:textId="77777777" w:rsidTr="00DC11E1">
              <w:trPr>
                <w:trHeight w:val="500"/>
              </w:trPr>
              <w:tc>
                <w:tcPr>
                  <w:tcW w:w="2854" w:type="dxa"/>
                </w:tcPr>
                <w:p w14:paraId="0821DCC1" w14:textId="77777777" w:rsidR="002120BA" w:rsidRDefault="002120BA" w:rsidP="00DC11E1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УК после увеличения</w:t>
                  </w:r>
                </w:p>
              </w:tc>
              <w:tc>
                <w:tcPr>
                  <w:tcW w:w="1418" w:type="dxa"/>
                </w:tcPr>
                <w:p w14:paraId="161E8573" w14:textId="77777777" w:rsidR="002120BA" w:rsidRDefault="002120BA" w:rsidP="00DC11E1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143" w:type="dxa"/>
                </w:tcPr>
                <w:p w14:paraId="2BF23C22" w14:textId="77777777" w:rsidR="002120BA" w:rsidRDefault="002120BA" w:rsidP="00DC11E1">
                  <w:pPr>
                    <w:spacing w:before="120" w:after="120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100%</w:t>
                  </w:r>
                </w:p>
              </w:tc>
            </w:tr>
          </w:tbl>
          <w:p w14:paraId="34D73CEC" w14:textId="77777777" w:rsidR="002120BA" w:rsidRPr="000B0AE4" w:rsidRDefault="002120BA" w:rsidP="00DC11E1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</w:p>
        </w:tc>
        <w:tc>
          <w:tcPr>
            <w:tcW w:w="4830" w:type="dxa"/>
            <w:tcBorders>
              <w:right w:val="single" w:sz="18" w:space="0" w:color="213AEF"/>
            </w:tcBorders>
            <w:shd w:val="clear" w:color="auto" w:fill="F2F2F2"/>
          </w:tcPr>
          <w:p w14:paraId="404909B8" w14:textId="77777777" w:rsidR="002120BA" w:rsidRDefault="002120BA" w:rsidP="00DC11E1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  <w:r w:rsidRPr="00614470">
              <w:rPr>
                <w:rFonts w:eastAsia="Times New Roman" w:cs="Arial"/>
                <w:b/>
                <w:bCs/>
                <w:sz w:val="20"/>
                <w:szCs w:val="20"/>
              </w:rPr>
              <w:t>Y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 xml:space="preserve"> = 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>11 111,11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 xml:space="preserve"> – 10</w:t>
            </w:r>
            <w:r>
              <w:rPr>
                <w:rFonts w:eastAsia="Times New Roman" w:cs="Arial"/>
                <w:sz w:val="20"/>
                <w:szCs w:val="20"/>
              </w:rPr>
              <w:t> 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>000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 xml:space="preserve"> </w:t>
            </w:r>
          </w:p>
          <w:p w14:paraId="4D06A578" w14:textId="77777777" w:rsidR="002120BA" w:rsidRDefault="002120BA" w:rsidP="00DC11E1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  <w:r w:rsidRPr="00614470">
              <w:rPr>
                <w:rFonts w:eastAsia="Times New Roman" w:cs="Arial"/>
                <w:b/>
                <w:bCs/>
                <w:sz w:val="20"/>
                <w:szCs w:val="20"/>
              </w:rPr>
              <w:t>Y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 xml:space="preserve"> = 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>1 111, 11 рублей</w:t>
            </w:r>
          </w:p>
          <w:p w14:paraId="1306CD54" w14:textId="77777777" w:rsidR="002120BA" w:rsidRPr="00614470" w:rsidRDefault="002120BA" w:rsidP="00DC11E1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  <w:r w:rsidRPr="00614470">
              <w:rPr>
                <w:rFonts w:eastAsia="Times New Roman" w:cs="Arial"/>
                <w:b/>
                <w:bCs/>
                <w:sz w:val="20"/>
                <w:szCs w:val="20"/>
              </w:rPr>
              <w:t>X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 xml:space="preserve"> = (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 xml:space="preserve">10 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 xml:space="preserve">000 * 100%) / 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>9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>0%</w:t>
            </w:r>
          </w:p>
          <w:p w14:paraId="06FFD61A" w14:textId="77777777" w:rsidR="002120BA" w:rsidRDefault="002120BA" w:rsidP="00DC11E1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  <w:r w:rsidRPr="00614470">
              <w:rPr>
                <w:rFonts w:eastAsia="Times New Roman" w:cs="Arial"/>
                <w:b/>
                <w:bCs/>
                <w:sz w:val="20"/>
                <w:szCs w:val="20"/>
                <w:lang w:val="ru-RU"/>
              </w:rPr>
              <w:t>X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 xml:space="preserve"> = </w:t>
            </w:r>
            <w:r>
              <w:rPr>
                <w:rFonts w:eastAsia="Times New Roman" w:cs="Arial"/>
                <w:sz w:val="20"/>
                <w:szCs w:val="20"/>
                <w:lang w:val="ru-RU"/>
              </w:rPr>
              <w:t>11 111,11 рублей</w:t>
            </w:r>
          </w:p>
          <w:p w14:paraId="1FC55AF8" w14:textId="77777777" w:rsidR="002120BA" w:rsidRDefault="002120BA" w:rsidP="00DC11E1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</w:p>
          <w:p w14:paraId="713FA66C" w14:textId="77777777" w:rsidR="002120BA" w:rsidRPr="00614470" w:rsidRDefault="002120BA" w:rsidP="00DC11E1">
            <w:pPr>
              <w:spacing w:before="120" w:after="120"/>
              <w:ind w:left="30"/>
              <w:jc w:val="both"/>
              <w:rPr>
                <w:rFonts w:eastAsia="Times New Roman" w:cs="Arial"/>
                <w:sz w:val="20"/>
                <w:szCs w:val="20"/>
                <w:lang w:val="ru-RU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val="ru-RU"/>
              </w:rPr>
              <w:t>1 111,11 рублей</w:t>
            </w:r>
            <w:r w:rsidRPr="00614470">
              <w:rPr>
                <w:rFonts w:eastAsia="Times New Roman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>идет на увеличение УК и отражается в бухгалтерии по счету 80 «Уставный капитал»</w:t>
            </w:r>
          </w:p>
          <w:p w14:paraId="31E05E45" w14:textId="77777777" w:rsidR="002120BA" w:rsidRPr="00502208" w:rsidRDefault="002120BA" w:rsidP="00DC11E1">
            <w:pPr>
              <w:spacing w:before="120" w:after="120"/>
              <w:ind w:left="30"/>
              <w:jc w:val="both"/>
              <w:rPr>
                <w:rFonts w:eastAsia="Times New Roman" w:cs="Arial"/>
                <w:sz w:val="20"/>
                <w:szCs w:val="20"/>
                <w:lang w:val="ru-RU"/>
              </w:rPr>
            </w:pPr>
            <w:r>
              <w:rPr>
                <w:rFonts w:eastAsia="Times New Roman" w:cs="Arial"/>
                <w:sz w:val="20"/>
                <w:szCs w:val="20"/>
                <w:lang w:val="ru-RU"/>
              </w:rPr>
              <w:t xml:space="preserve">Остальная сумма вклада, за вычетом 1 111, 11 рублей </w:t>
            </w:r>
            <w:r w:rsidRPr="00614470">
              <w:rPr>
                <w:rFonts w:eastAsia="Times New Roman" w:cs="Arial"/>
                <w:sz w:val="20"/>
                <w:szCs w:val="20"/>
                <w:lang w:val="ru-RU"/>
              </w:rPr>
              <w:t>отражается по счету 83 «Добавочный капитал» и может быть свободно использовано стартапом</w:t>
            </w:r>
          </w:p>
        </w:tc>
      </w:tr>
      <w:tr w:rsidR="002120BA" w:rsidRPr="00502208" w14:paraId="4F011DD6" w14:textId="77777777" w:rsidTr="00DC11E1">
        <w:trPr>
          <w:trHeight w:val="665"/>
        </w:trPr>
        <w:tc>
          <w:tcPr>
            <w:tcW w:w="4951" w:type="dxa"/>
            <w:tcBorders>
              <w:left w:val="single" w:sz="18" w:space="0" w:color="213AEF"/>
            </w:tcBorders>
            <w:shd w:val="clear" w:color="auto" w:fill="F2F2F2"/>
          </w:tcPr>
          <w:p w14:paraId="4FD9872A" w14:textId="77777777" w:rsidR="002120BA" w:rsidRPr="00E650DB" w:rsidRDefault="002120BA" w:rsidP="00DC11E1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  <w:r w:rsidRPr="00643140">
              <w:rPr>
                <w:rFonts w:eastAsia="Times New Roman" w:cs="Arial"/>
                <w:sz w:val="18"/>
                <w:szCs w:val="18"/>
                <w:lang w:val="ru-RU"/>
              </w:rPr>
              <w:t xml:space="preserve">* </w:t>
            </w:r>
            <w:r>
              <w:rPr>
                <w:rFonts w:eastAsia="Times New Roman" w:cs="Arial"/>
                <w:sz w:val="18"/>
                <w:szCs w:val="18"/>
                <w:lang w:val="ru-RU"/>
              </w:rPr>
              <w:t>Инвестор</w:t>
            </w:r>
            <w:r w:rsidRPr="00643140">
              <w:rPr>
                <w:rFonts w:eastAsia="Times New Roman" w:cs="Arial"/>
                <w:sz w:val="18"/>
                <w:szCs w:val="18"/>
                <w:lang w:val="ru-RU"/>
              </w:rPr>
              <w:t xml:space="preserve"> указывает желаемый размер доли в заявлении. </w:t>
            </w:r>
          </w:p>
        </w:tc>
        <w:tc>
          <w:tcPr>
            <w:tcW w:w="4830" w:type="dxa"/>
            <w:tcBorders>
              <w:right w:val="single" w:sz="18" w:space="0" w:color="213AEF"/>
            </w:tcBorders>
            <w:shd w:val="clear" w:color="auto" w:fill="F2F2F2"/>
          </w:tcPr>
          <w:p w14:paraId="67234453" w14:textId="77777777" w:rsidR="002120BA" w:rsidRPr="00E650DB" w:rsidRDefault="002120BA" w:rsidP="00DC11E1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</w:p>
        </w:tc>
      </w:tr>
      <w:tr w:rsidR="002120BA" w:rsidRPr="000B0AE4" w14:paraId="22884AD6" w14:textId="77777777" w:rsidTr="00DC11E1">
        <w:tc>
          <w:tcPr>
            <w:tcW w:w="9781" w:type="dxa"/>
            <w:gridSpan w:val="2"/>
            <w:tcBorders>
              <w:left w:val="single" w:sz="18" w:space="0" w:color="213AEF"/>
              <w:bottom w:val="single" w:sz="18" w:space="0" w:color="213AEF"/>
              <w:right w:val="single" w:sz="18" w:space="0" w:color="213AEF"/>
            </w:tcBorders>
            <w:shd w:val="clear" w:color="auto" w:fill="F2F2F2"/>
          </w:tcPr>
          <w:p w14:paraId="78E273FB" w14:textId="77777777" w:rsidR="002120BA" w:rsidRPr="000B0AE4" w:rsidRDefault="002120BA" w:rsidP="00DC11E1">
            <w:pPr>
              <w:spacing w:before="120" w:after="120"/>
              <w:rPr>
                <w:rFonts w:eastAsia="Times New Roman" w:cs="Arial"/>
                <w:sz w:val="20"/>
                <w:szCs w:val="20"/>
                <w:lang w:val="ru-RU"/>
              </w:rPr>
            </w:pPr>
            <w:hyperlink r:id="rId9" w:history="1">
              <w:r w:rsidRPr="001F23F4">
                <w:rPr>
                  <w:rStyle w:val="a9"/>
                  <w:rFonts w:eastAsia="SimSun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</w:tbl>
    <w:p w14:paraId="52374389" w14:textId="753A93E8" w:rsidR="001654D0" w:rsidRDefault="001654D0">
      <w:pPr>
        <w:rPr>
          <w:rFonts w:ascii="Times New Roman" w:hAnsi="Times New Roman" w:cs="Times New Roman"/>
          <w:b/>
        </w:rPr>
      </w:pPr>
    </w:p>
    <w:sectPr w:rsidR="001654D0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9E01E" w14:textId="77777777" w:rsidR="00D82E57" w:rsidRDefault="00D82E57">
      <w:pPr>
        <w:spacing w:after="0" w:line="240" w:lineRule="auto"/>
      </w:pPr>
      <w:r>
        <w:separator/>
      </w:r>
    </w:p>
  </w:endnote>
  <w:endnote w:type="continuationSeparator" w:id="0">
    <w:p w14:paraId="5DEFECD0" w14:textId="77777777" w:rsidR="00D82E57" w:rsidRDefault="00D82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1"/>
      <w:gridCol w:w="3016"/>
      <w:gridCol w:w="3014"/>
    </w:tblGrid>
    <w:tr w:rsidR="00C73758" w14:paraId="06B7E7C7" w14:textId="77777777" w:rsidTr="00C73758">
      <w:tc>
        <w:tcPr>
          <w:tcW w:w="3041" w:type="dxa"/>
          <w:vAlign w:val="center"/>
          <w:hideMark/>
        </w:tcPr>
        <w:p w14:paraId="6E378BF6" w14:textId="77777777" w:rsidR="00C73758" w:rsidRDefault="00000000" w:rsidP="00C73758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lang w:eastAsia="zh-CN"/>
            </w:rPr>
          </w:pPr>
          <w:hyperlink r:id="rId1" w:history="1">
            <w:r w:rsidR="00C73758">
              <w:rPr>
                <w:rStyle w:val="a9"/>
                <w:rFonts w:ascii="Arial" w:eastAsia="SimSun" w:hAnsi="Arial" w:cs="Arial"/>
                <w:sz w:val="16"/>
                <w:szCs w:val="18"/>
                <w:lang w:eastAsia="zh-CN"/>
              </w:rPr>
              <w:t>www.buzko.legal</w:t>
            </w:r>
          </w:hyperlink>
          <w:r w:rsidR="00C73758">
            <w:rPr>
              <w:rFonts w:ascii="Arial" w:eastAsia="SimSun" w:hAnsi="Arial" w:cs="Arial"/>
              <w:sz w:val="16"/>
              <w:szCs w:val="18"/>
              <w:lang w:eastAsia="zh-CN"/>
            </w:rPr>
            <w:t xml:space="preserve"> </w:t>
          </w:r>
        </w:p>
      </w:tc>
      <w:tc>
        <w:tcPr>
          <w:tcW w:w="3016" w:type="dxa"/>
          <w:vAlign w:val="center"/>
          <w:hideMark/>
        </w:tcPr>
        <w:p w14:paraId="640147BD" w14:textId="77777777" w:rsidR="00C73758" w:rsidRDefault="00C73758" w:rsidP="00C73758">
          <w:pPr>
            <w:pStyle w:val="a5"/>
            <w:jc w:val="center"/>
            <w:rPr>
              <w:sz w:val="24"/>
              <w:szCs w:val="24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  <w:tc>
        <w:tcPr>
          <w:tcW w:w="3014" w:type="dxa"/>
          <w:vAlign w:val="center"/>
        </w:tcPr>
        <w:p w14:paraId="202A02BE" w14:textId="77777777" w:rsidR="00C73758" w:rsidRDefault="00C73758" w:rsidP="00C73758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lang w:val="en-GB" w:eastAsia="zh-CN"/>
            </w:rPr>
          </w:pPr>
        </w:p>
      </w:tc>
    </w:tr>
  </w:tbl>
  <w:p w14:paraId="00D976C2" w14:textId="1B66F233" w:rsidR="00944799" w:rsidRPr="00C73758" w:rsidRDefault="00000000" w:rsidP="00E22D1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E2708" w14:textId="77777777" w:rsidR="00D82E57" w:rsidRDefault="00D82E57">
      <w:pPr>
        <w:spacing w:after="0" w:line="240" w:lineRule="auto"/>
      </w:pPr>
      <w:r>
        <w:separator/>
      </w:r>
    </w:p>
  </w:footnote>
  <w:footnote w:type="continuationSeparator" w:id="0">
    <w:p w14:paraId="68575B64" w14:textId="77777777" w:rsidR="00D82E57" w:rsidRDefault="00D82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A05FC"/>
    <w:multiLevelType w:val="hybridMultilevel"/>
    <w:tmpl w:val="6A92DC50"/>
    <w:lvl w:ilvl="0" w:tplc="04190003">
      <w:start w:val="1"/>
      <w:numFmt w:val="bullet"/>
      <w:lvlText w:val="o"/>
      <w:lvlJc w:val="left"/>
      <w:pPr>
        <w:ind w:left="105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</w:lvl>
    <w:lvl w:ilvl="1" w:tplc="9CF0354C">
      <w:start w:val="1"/>
      <w:numFmt w:val="lowerLetter"/>
      <w:lvlText w:val="(%2)"/>
      <w:lvlJc w:val="left"/>
      <w:pPr>
        <w:ind w:left="1494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C6E4A"/>
    <w:multiLevelType w:val="multilevel"/>
    <w:tmpl w:val="A86CC76C"/>
    <w:lvl w:ilvl="0">
      <w:start w:val="1"/>
      <w:numFmt w:val="decimal"/>
      <w:pStyle w:val="1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pStyle w:val="3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pStyle w:val="4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774185">
    <w:abstractNumId w:val="2"/>
  </w:num>
  <w:num w:numId="2" w16cid:durableId="49302846">
    <w:abstractNumId w:val="3"/>
  </w:num>
  <w:num w:numId="3" w16cid:durableId="1132166569">
    <w:abstractNumId w:val="4"/>
  </w:num>
  <w:num w:numId="4" w16cid:durableId="1823302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2100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F45"/>
    <w:rsid w:val="00092BB3"/>
    <w:rsid w:val="000B18EF"/>
    <w:rsid w:val="000F5F45"/>
    <w:rsid w:val="001654D0"/>
    <w:rsid w:val="001A4F3B"/>
    <w:rsid w:val="00202B71"/>
    <w:rsid w:val="002120BA"/>
    <w:rsid w:val="00237E10"/>
    <w:rsid w:val="0030264A"/>
    <w:rsid w:val="003A6FB5"/>
    <w:rsid w:val="003B5256"/>
    <w:rsid w:val="004576EC"/>
    <w:rsid w:val="00476075"/>
    <w:rsid w:val="004A6F74"/>
    <w:rsid w:val="00560949"/>
    <w:rsid w:val="00652559"/>
    <w:rsid w:val="00685907"/>
    <w:rsid w:val="006A275D"/>
    <w:rsid w:val="006A3CE8"/>
    <w:rsid w:val="006F26A9"/>
    <w:rsid w:val="007107E3"/>
    <w:rsid w:val="0071288A"/>
    <w:rsid w:val="00737376"/>
    <w:rsid w:val="007574E1"/>
    <w:rsid w:val="008A50C2"/>
    <w:rsid w:val="008F64EA"/>
    <w:rsid w:val="00924968"/>
    <w:rsid w:val="009C4CF3"/>
    <w:rsid w:val="00AC0218"/>
    <w:rsid w:val="00AE6528"/>
    <w:rsid w:val="00B570A7"/>
    <w:rsid w:val="00B72F09"/>
    <w:rsid w:val="00C73758"/>
    <w:rsid w:val="00D1436E"/>
    <w:rsid w:val="00D82E57"/>
    <w:rsid w:val="00DA1C65"/>
    <w:rsid w:val="00E22D13"/>
    <w:rsid w:val="00E607E4"/>
    <w:rsid w:val="00E848CA"/>
    <w:rsid w:val="00F073DB"/>
    <w:rsid w:val="00F11559"/>
    <w:rsid w:val="00F948BB"/>
    <w:rsid w:val="00FB14AD"/>
    <w:rsid w:val="00FB4BE9"/>
    <w:rsid w:val="00FB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50A4F"/>
  <w15:chartTrackingRefBased/>
  <w15:docId w15:val="{A2C135FF-1C10-4D20-A973-DF9AD8C3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968"/>
  </w:style>
  <w:style w:type="paragraph" w:styleId="1">
    <w:name w:val="heading 1"/>
    <w:basedOn w:val="2"/>
    <w:next w:val="a"/>
    <w:link w:val="10"/>
    <w:uiPriority w:val="9"/>
    <w:qFormat/>
    <w:rsid w:val="00F11559"/>
    <w:pPr>
      <w:numPr>
        <w:ilvl w:val="0"/>
      </w:numPr>
      <w:outlineLvl w:val="0"/>
    </w:pPr>
    <w:rPr>
      <w:b/>
      <w:bCs/>
    </w:rPr>
  </w:style>
  <w:style w:type="paragraph" w:styleId="2">
    <w:name w:val="heading 2"/>
    <w:basedOn w:val="3"/>
    <w:next w:val="a"/>
    <w:link w:val="20"/>
    <w:uiPriority w:val="9"/>
    <w:unhideWhenUsed/>
    <w:qFormat/>
    <w:rsid w:val="00F11559"/>
    <w:pPr>
      <w:outlineLvl w:val="1"/>
    </w:pPr>
  </w:style>
  <w:style w:type="paragraph" w:styleId="3">
    <w:name w:val="heading 3"/>
    <w:basedOn w:val="a0"/>
    <w:next w:val="a"/>
    <w:link w:val="30"/>
    <w:uiPriority w:val="9"/>
    <w:unhideWhenUsed/>
    <w:rsid w:val="00F11559"/>
    <w:pPr>
      <w:numPr>
        <w:ilvl w:val="1"/>
        <w:numId w:val="2"/>
      </w:numPr>
      <w:spacing w:after="240" w:line="240" w:lineRule="auto"/>
      <w:ind w:left="851" w:hanging="851"/>
      <w:contextualSpacing w:val="0"/>
      <w:jc w:val="both"/>
      <w:outlineLvl w:val="2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3"/>
    <w:next w:val="a"/>
    <w:link w:val="40"/>
    <w:uiPriority w:val="9"/>
    <w:unhideWhenUsed/>
    <w:qFormat/>
    <w:rsid w:val="00F11559"/>
    <w:pPr>
      <w:numPr>
        <w:ilvl w:val="2"/>
      </w:numPr>
      <w:outlineLvl w:val="3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924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Paragraph"/>
    <w:basedOn w:val="a"/>
    <w:uiPriority w:val="34"/>
    <w:qFormat/>
    <w:rsid w:val="00924968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924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1"/>
    <w:link w:val="a5"/>
    <w:uiPriority w:val="99"/>
    <w:rsid w:val="00924968"/>
  </w:style>
  <w:style w:type="character" w:customStyle="1" w:styleId="10">
    <w:name w:val="Заголовок 1 Знак"/>
    <w:basedOn w:val="a1"/>
    <w:link w:val="1"/>
    <w:uiPriority w:val="9"/>
    <w:rsid w:val="00F1155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basedOn w:val="a1"/>
    <w:link w:val="2"/>
    <w:uiPriority w:val="9"/>
    <w:rsid w:val="00F1155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30">
    <w:name w:val="Заголовок 3 Знак"/>
    <w:basedOn w:val="a1"/>
    <w:link w:val="3"/>
    <w:uiPriority w:val="9"/>
    <w:rsid w:val="00F1155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40">
    <w:name w:val="Заголовок 4 Знак"/>
    <w:basedOn w:val="a1"/>
    <w:link w:val="4"/>
    <w:uiPriority w:val="9"/>
    <w:rsid w:val="00F115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toc 1"/>
    <w:basedOn w:val="a"/>
    <w:next w:val="a"/>
    <w:autoRedefine/>
    <w:uiPriority w:val="39"/>
    <w:unhideWhenUsed/>
    <w:rsid w:val="00F11559"/>
    <w:pPr>
      <w:tabs>
        <w:tab w:val="left" w:pos="567"/>
        <w:tab w:val="right" w:leader="dot" w:pos="9345"/>
      </w:tabs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ody Text"/>
    <w:aliases w:val="A1"/>
    <w:basedOn w:val="a"/>
    <w:link w:val="a8"/>
    <w:rsid w:val="00F11559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8">
    <w:name w:val="Основной текст Знак"/>
    <w:aliases w:val="A1 Знак"/>
    <w:basedOn w:val="a1"/>
    <w:link w:val="a7"/>
    <w:rsid w:val="00F1155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9">
    <w:name w:val="Hyperlink"/>
    <w:uiPriority w:val="99"/>
    <w:rsid w:val="00F11559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E22D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E22D13"/>
  </w:style>
  <w:style w:type="table" w:customStyle="1" w:styleId="TableGrid1">
    <w:name w:val="Table Grid1"/>
    <w:basedOn w:val="a2"/>
    <w:next w:val="a4"/>
    <w:rsid w:val="00E22D1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4"/>
    <w:rsid w:val="00B72F09"/>
    <w:pPr>
      <w:spacing w:after="0" w:line="240" w:lineRule="auto"/>
    </w:pPr>
    <w:rPr>
      <w:rFonts w:ascii="Arial" w:hAnsi="Arial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zko.leg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uzko.lega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3B01D-39AE-4E8E-A02A-C021ECA3B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Андреев</dc:creator>
  <cp:keywords/>
  <dc:description/>
  <cp:lastModifiedBy>Irina Kareva</cp:lastModifiedBy>
  <cp:revision>5</cp:revision>
  <dcterms:created xsi:type="dcterms:W3CDTF">2022-12-09T08:10:00Z</dcterms:created>
  <dcterms:modified xsi:type="dcterms:W3CDTF">2022-12-13T14:10:00Z</dcterms:modified>
</cp:coreProperties>
</file>